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DD" w:rsidRPr="00147AB7" w:rsidRDefault="001151DD" w:rsidP="001151DD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1151DD" w:rsidRPr="00147AB7" w:rsidTr="00C62B91">
        <w:trPr>
          <w:trHeight w:hRule="exact" w:val="532"/>
        </w:trPr>
        <w:tc>
          <w:tcPr>
            <w:tcW w:w="525" w:type="dxa"/>
          </w:tcPr>
          <w:p w:rsidR="001151DD" w:rsidRPr="006F5D05" w:rsidRDefault="001151DD" w:rsidP="00C62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1151DD" w:rsidRPr="006F5D05" w:rsidRDefault="001151DD" w:rsidP="00C62B91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1151DD" w:rsidRPr="006F5D05" w:rsidRDefault="001151D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244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151DD" w:rsidRPr="006F5D05" w:rsidRDefault="001151DD" w:rsidP="000244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April </w:t>
            </w:r>
            <w:r w:rsidR="0002444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24444" w:rsidRPr="0002444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024444">
              <w:rPr>
                <w:rFonts w:ascii="Times New Roman" w:hAnsi="Times New Roman"/>
                <w:b/>
                <w:sz w:val="24"/>
                <w:szCs w:val="24"/>
              </w:rPr>
              <w:t>- May 2</w:t>
            </w:r>
            <w:r w:rsidR="00024444" w:rsidRPr="0002444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="0002444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5172" w:type="dxa"/>
            <w:gridSpan w:val="4"/>
          </w:tcPr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151DD" w:rsidRPr="00147AB7" w:rsidTr="00C62B91">
        <w:trPr>
          <w:trHeight w:hRule="exact" w:val="280"/>
        </w:trPr>
        <w:tc>
          <w:tcPr>
            <w:tcW w:w="525" w:type="dxa"/>
          </w:tcPr>
          <w:p w:rsidR="001151DD" w:rsidRPr="00147AB7" w:rsidRDefault="001151DD" w:rsidP="00C62B9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1151DD" w:rsidRPr="006C6EF7" w:rsidRDefault="001151DD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151DD" w:rsidRPr="006C6EF7" w:rsidRDefault="001151DD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1DD" w:rsidRPr="006C6EF7" w:rsidRDefault="001151D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1151DD" w:rsidRPr="006C6EF7" w:rsidRDefault="001151DD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1DD" w:rsidRPr="006C6EF7" w:rsidRDefault="001151D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1151DD" w:rsidRPr="006C6EF7" w:rsidRDefault="001151DD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51DD" w:rsidRPr="006C6EF7" w:rsidRDefault="001151DD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1151DD" w:rsidRPr="006C6EF7" w:rsidRDefault="001151DD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1151DD" w:rsidRPr="00D2517D" w:rsidTr="00C62B91">
        <w:trPr>
          <w:cantSplit/>
          <w:trHeight w:val="1862"/>
        </w:trPr>
        <w:tc>
          <w:tcPr>
            <w:tcW w:w="525" w:type="dxa"/>
            <w:textDirection w:val="btLr"/>
          </w:tcPr>
          <w:p w:rsidR="001151DD" w:rsidRPr="00D2517D" w:rsidRDefault="001151D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1151DD" w:rsidRPr="001151DD" w:rsidRDefault="001151DD" w:rsidP="001151D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Group Lab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Land Classification Model Assignment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clay, paint </w:t>
            </w:r>
          </w:p>
        </w:tc>
        <w:tc>
          <w:tcPr>
            <w:tcW w:w="3882" w:type="dxa"/>
          </w:tcPr>
          <w:p w:rsidR="00EF1CEE" w:rsidRPr="00B34E0D" w:rsidRDefault="00EF1CEE" w:rsidP="00EF1C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330C5">
              <w:rPr>
                <w:rFonts w:asciiTheme="majorHAnsi" w:hAnsiTheme="majorHAnsi"/>
                <w:sz w:val="14"/>
                <w:szCs w:val="14"/>
              </w:rPr>
              <w:t>Students integrate the concepts of Earth axis, orientation toward the North Star, and Earth's rotation and revolution to understand the phenomenon of seasons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along with the terms of </w:t>
            </w:r>
            <w:r w:rsidRPr="00EF1CEE">
              <w:rPr>
                <w:rFonts w:asciiTheme="majorHAnsi" w:hAnsiTheme="majorHAnsi"/>
                <w:sz w:val="14"/>
                <w:szCs w:val="14"/>
              </w:rPr>
              <w:t>rotation, revolution, equinox, and solar angle</w:t>
            </w:r>
            <w:r w:rsidRPr="00E330C5">
              <w:rPr>
                <w:rFonts w:asciiTheme="majorHAnsi" w:hAnsiTheme="majorHAnsi"/>
                <w:sz w:val="14"/>
                <w:szCs w:val="14"/>
              </w:rPr>
              <w:t xml:space="preserve">. 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2C359B" w:rsidRDefault="001151DD" w:rsidP="001151D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“Pick 3”  Differentiation Project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Choiceboard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BD2D36">
              <w:rPr>
                <w:rFonts w:asciiTheme="majorHAnsi" w:hAnsiTheme="majorHAnsi"/>
                <w:sz w:val="14"/>
                <w:szCs w:val="14"/>
              </w:rPr>
              <w:t xml:space="preserve">draw a landscape design plan to a customer’s specifications.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="00BD2D36">
              <w:rPr>
                <w:rFonts w:asciiTheme="majorHAnsi" w:hAnsiTheme="majorHAnsi"/>
                <w:sz w:val="14"/>
                <w:szCs w:val="14"/>
              </w:rPr>
              <w:t xml:space="preserve">Student Work </w:t>
            </w:r>
            <w:proofErr w:type="spellStart"/>
            <w:r w:rsidR="00BD2D36">
              <w:rPr>
                <w:rFonts w:asciiTheme="majorHAnsi" w:hAnsiTheme="majorHAnsi"/>
                <w:sz w:val="14"/>
                <w:szCs w:val="14"/>
              </w:rPr>
              <w:t>TIme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Pr="00B34E0D" w:rsidRDefault="00BD2D36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Final Drafting Assignment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D2D36">
              <w:rPr>
                <w:rFonts w:asciiTheme="majorHAnsi" w:hAnsiTheme="majorHAnsi"/>
                <w:sz w:val="14"/>
                <w:szCs w:val="14"/>
              </w:rPr>
              <w:t>papers, landscape drafting tools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3F0197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Trapping Review Game</w:t>
            </w:r>
          </w:p>
          <w:p w:rsidR="003F0197" w:rsidRPr="00B34E0D" w:rsidRDefault="003F0197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</w:t>
            </w:r>
            <w:r w:rsidR="00024444">
              <w:rPr>
                <w:rFonts w:asciiTheme="majorHAnsi" w:hAnsiTheme="majorHAnsi"/>
                <w:sz w:val="14"/>
                <w:szCs w:val="14"/>
              </w:rPr>
              <w:t xml:space="preserve">construct a solar cooker.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Default="000244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Cooker Projects</w:t>
            </w:r>
          </w:p>
          <w:p w:rsidR="00024444" w:rsidRPr="00B34E0D" w:rsidRDefault="0002444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24444" w:rsidRDefault="00024444" w:rsidP="000244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Cooker Projects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9743D" w:rsidRPr="0079743D">
              <w:rPr>
                <w:rFonts w:asciiTheme="majorHAnsi" w:hAnsiTheme="majorHAnsi"/>
                <w:sz w:val="14"/>
                <w:szCs w:val="14"/>
              </w:rPr>
              <w:t xml:space="preserve">Students can identify 15 local ag </w:t>
            </w:r>
            <w:proofErr w:type="gramStart"/>
            <w:r w:rsidR="0079743D" w:rsidRPr="0079743D">
              <w:rPr>
                <w:rFonts w:asciiTheme="majorHAnsi" w:hAnsiTheme="majorHAnsi"/>
                <w:sz w:val="14"/>
                <w:szCs w:val="14"/>
              </w:rPr>
              <w:t>business</w:t>
            </w:r>
            <w:proofErr w:type="gramEnd"/>
            <w:r w:rsidR="0079743D" w:rsidRPr="0079743D">
              <w:rPr>
                <w:rFonts w:asciiTheme="majorHAnsi" w:hAnsiTheme="majorHAnsi"/>
                <w:sz w:val="14"/>
                <w:szCs w:val="14"/>
              </w:rPr>
              <w:t xml:space="preserve"> in Trempealeau County.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Collect Ag In My Hometown Assignment</w:t>
            </w:r>
            <w:r>
              <w:rPr>
                <w:rFonts w:ascii="Cambria" w:hAnsi="Cambria"/>
                <w:sz w:val="14"/>
                <w:szCs w:val="14"/>
              </w:rPr>
              <w:br/>
              <w:t xml:space="preserve">-Start USA Ag Assignment </w:t>
            </w:r>
          </w:p>
          <w:p w:rsidR="0079743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151DD" w:rsidRPr="00D2517D" w:rsidTr="00C62B91">
        <w:trPr>
          <w:cantSplit/>
          <w:trHeight w:val="2447"/>
        </w:trPr>
        <w:tc>
          <w:tcPr>
            <w:tcW w:w="525" w:type="dxa"/>
            <w:textDirection w:val="btLr"/>
          </w:tcPr>
          <w:p w:rsidR="001151DD" w:rsidRPr="00D2517D" w:rsidRDefault="001151D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1151DD" w:rsidRPr="001151DD" w:rsidRDefault="001151DD" w:rsidP="001151DD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Group Lab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Land Classification Model Assignment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clay, paint</w:t>
            </w:r>
          </w:p>
        </w:tc>
        <w:tc>
          <w:tcPr>
            <w:tcW w:w="3882" w:type="dxa"/>
          </w:tcPr>
          <w:p w:rsidR="00EF1CEE" w:rsidRPr="00B34E0D" w:rsidRDefault="00EF1CEE" w:rsidP="00EF1C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330C5">
              <w:rPr>
                <w:rFonts w:asciiTheme="majorHAnsi" w:hAnsiTheme="majorHAnsi"/>
                <w:sz w:val="14"/>
                <w:szCs w:val="14"/>
              </w:rPr>
              <w:t>Students integrate the concepts of Earth axis, orientation toward the North Star, and Earth's rotation and revolution to understand the phenomenon of seasons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along with the terms of </w:t>
            </w:r>
            <w:r w:rsidRPr="00EF1CEE">
              <w:rPr>
                <w:rFonts w:asciiTheme="majorHAnsi" w:hAnsiTheme="majorHAnsi"/>
                <w:sz w:val="14"/>
                <w:szCs w:val="14"/>
              </w:rPr>
              <w:t>rotation, revolution, equinox, and solar angle</w:t>
            </w:r>
            <w:r w:rsidRPr="00E330C5">
              <w:rPr>
                <w:rFonts w:asciiTheme="majorHAnsi" w:hAnsiTheme="majorHAnsi"/>
                <w:sz w:val="14"/>
                <w:szCs w:val="14"/>
              </w:rPr>
              <w:t xml:space="preserve">. 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2C359B" w:rsidRDefault="001151DD" w:rsidP="001151D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“Pick 3”  Differentiation Project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Choiceboard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BD2D36" w:rsidRPr="00B34E0D" w:rsidRDefault="00BD2D36" w:rsidP="00BD2D36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draw a landscape design plan to a customer’s specifications. </w:t>
            </w:r>
          </w:p>
          <w:p w:rsidR="00BD2D36" w:rsidRPr="00B34E0D" w:rsidRDefault="00BD2D36" w:rsidP="00BD2D3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 Work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TIme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D2D36" w:rsidRPr="00B34E0D" w:rsidRDefault="00BD2D36" w:rsidP="00BD2D3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D2D36" w:rsidRPr="00B34E0D" w:rsidRDefault="00BD2D36" w:rsidP="00BD2D36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Final Drafting Assignment </w:t>
            </w:r>
          </w:p>
          <w:p w:rsidR="00BD2D36" w:rsidRPr="00B34E0D" w:rsidRDefault="00BD2D36" w:rsidP="00BD2D36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papers, landscape drafting tools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Pr="00B34E0D" w:rsidRDefault="003F0197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Jim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Helgeson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&amp; </w:t>
            </w:r>
            <w:r w:rsidR="001151D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Junior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Prudlick</w:t>
            </w:r>
            <w:proofErr w:type="spellEnd"/>
            <w:r w:rsidR="001151D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151DD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1151DD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024444" w:rsidRPr="00B34E0D" w:rsidRDefault="00024444" w:rsidP="000244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construct a solar cooker. </w:t>
            </w:r>
          </w:p>
          <w:p w:rsidR="00024444" w:rsidRPr="00B34E0D" w:rsidRDefault="00024444" w:rsidP="000244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24444" w:rsidRPr="00B34E0D" w:rsidRDefault="00024444" w:rsidP="0002444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024444" w:rsidRDefault="00024444" w:rsidP="000244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Cooker Projects</w:t>
            </w:r>
          </w:p>
          <w:p w:rsidR="00024444" w:rsidRPr="00B34E0D" w:rsidRDefault="00024444" w:rsidP="000244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024444" w:rsidRPr="00B34E0D" w:rsidRDefault="00024444" w:rsidP="0002444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24444" w:rsidRDefault="00024444" w:rsidP="0002444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Cooker Projects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9743D" w:rsidRPr="0079743D">
              <w:rPr>
                <w:rFonts w:asciiTheme="majorHAnsi" w:hAnsiTheme="majorHAnsi"/>
                <w:sz w:val="14"/>
                <w:szCs w:val="14"/>
              </w:rPr>
              <w:t>Students can identify major agriculture products in USA.</w:t>
            </w:r>
          </w:p>
          <w:p w:rsidR="0079743D" w:rsidRDefault="0079743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Class Review </w:t>
            </w: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9743D" w:rsidRDefault="0079743D" w:rsidP="0079743D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USA Ag Assignment 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9743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1151DD" w:rsidRPr="00D2517D" w:rsidTr="00C62B91">
        <w:trPr>
          <w:cantSplit/>
          <w:trHeight w:val="2375"/>
        </w:trPr>
        <w:tc>
          <w:tcPr>
            <w:tcW w:w="525" w:type="dxa"/>
            <w:textDirection w:val="btLr"/>
          </w:tcPr>
          <w:p w:rsidR="001151DD" w:rsidRPr="00D2517D" w:rsidRDefault="001151D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330C5">
              <w:rPr>
                <w:rFonts w:asciiTheme="majorHAnsi" w:hAnsiTheme="majorHAnsi"/>
                <w:sz w:val="14"/>
                <w:szCs w:val="14"/>
              </w:rPr>
              <w:t>Students integrate the concepts of Earth axis, orientation toward the North Star, and Earth's rotation and revolution to understand the phenomenon of seasons</w:t>
            </w:r>
            <w:r w:rsidR="00EF1CEE">
              <w:rPr>
                <w:rFonts w:asciiTheme="majorHAnsi" w:hAnsiTheme="majorHAnsi"/>
                <w:sz w:val="14"/>
                <w:szCs w:val="14"/>
              </w:rPr>
              <w:t xml:space="preserve">, along with the terms of </w:t>
            </w:r>
            <w:r w:rsidR="00EF1CEE" w:rsidRPr="00EF1CEE">
              <w:rPr>
                <w:rFonts w:asciiTheme="majorHAnsi" w:hAnsiTheme="majorHAnsi"/>
                <w:sz w:val="14"/>
                <w:szCs w:val="14"/>
              </w:rPr>
              <w:t>rotation, revolution, equinox, and solar angle</w:t>
            </w:r>
            <w:r w:rsidRPr="00E330C5">
              <w:rPr>
                <w:rFonts w:asciiTheme="majorHAnsi" w:hAnsiTheme="majorHAnsi"/>
                <w:sz w:val="14"/>
                <w:szCs w:val="14"/>
              </w:rPr>
              <w:t xml:space="preserve">. 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2C359B" w:rsidRDefault="001151DD" w:rsidP="001151D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“Pick 3”  Differentiation Project </w:t>
            </w: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Choiceboard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 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install a landscape. 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Pr="00B34E0D" w:rsidRDefault="001151DD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pruners, rakes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Trapping Final Exam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Differentiated Instruction Projects</w:t>
            </w:r>
          </w:p>
        </w:tc>
        <w:tc>
          <w:tcPr>
            <w:tcW w:w="3618" w:type="dxa"/>
          </w:tcPr>
          <w:p w:rsidR="001151DD" w:rsidRPr="0079743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9743D" w:rsidRPr="0079743D">
              <w:rPr>
                <w:rFonts w:asciiTheme="majorHAnsi" w:hAnsiTheme="majorHAnsi"/>
                <w:sz w:val="14"/>
                <w:szCs w:val="14"/>
              </w:rPr>
              <w:t xml:space="preserve">Students understand the impacts that population and food supply have on the welfare of different continents. </w:t>
            </w:r>
          </w:p>
          <w:p w:rsidR="0079743D" w:rsidRDefault="0079743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Global USA Activity</w:t>
            </w:r>
          </w:p>
          <w:p w:rsidR="0079743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Pr="00B34E0D" w:rsidRDefault="001151DD" w:rsidP="0079743D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</w:p>
        </w:tc>
      </w:tr>
      <w:tr w:rsidR="001151DD" w:rsidRPr="00D2517D" w:rsidTr="00C62B91">
        <w:trPr>
          <w:cantSplit/>
          <w:trHeight w:val="2159"/>
        </w:trPr>
        <w:tc>
          <w:tcPr>
            <w:tcW w:w="525" w:type="dxa"/>
            <w:textDirection w:val="btLr"/>
          </w:tcPr>
          <w:p w:rsidR="001151DD" w:rsidRPr="00D2517D" w:rsidRDefault="001151D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1151DD" w:rsidRPr="00EF1CEE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F1CEE" w:rsidRPr="00EF1CEE">
              <w:rPr>
                <w:rFonts w:asciiTheme="majorHAnsi" w:hAnsiTheme="majorHAnsi"/>
                <w:sz w:val="14"/>
                <w:szCs w:val="14"/>
              </w:rPr>
              <w:t xml:space="preserve">Students can relate the importance of solar angle to the intensity of light on Earth.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2C359B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EF1CEE">
              <w:rPr>
                <w:rFonts w:asciiTheme="majorHAnsi" w:hAnsiTheme="majorHAnsi"/>
                <w:sz w:val="14"/>
                <w:szCs w:val="14"/>
              </w:rPr>
              <w:t xml:space="preserve">Inv. 3- Pt. 3 “Beam Spreading” Demonstration </w:t>
            </w:r>
          </w:p>
          <w:p w:rsidR="00EF1CEE" w:rsidRPr="00B34E0D" w:rsidRDefault="00EF1CEE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Beamspreading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Fossweb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Worksheet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EF1CE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EF1CEE">
              <w:rPr>
                <w:rFonts w:asciiTheme="majorHAnsi" w:hAnsiTheme="majorHAnsi"/>
                <w:sz w:val="14"/>
                <w:szCs w:val="14"/>
              </w:rPr>
              <w:t xml:space="preserve">Flashlight, white </w:t>
            </w:r>
            <w:proofErr w:type="spellStart"/>
            <w:r w:rsidR="00EF1CEE">
              <w:rPr>
                <w:rFonts w:asciiTheme="majorHAnsi" w:hAnsiTheme="majorHAnsi"/>
                <w:sz w:val="14"/>
                <w:szCs w:val="14"/>
              </w:rPr>
              <w:t>tagboard</w:t>
            </w:r>
            <w:proofErr w:type="spellEnd"/>
            <w:r w:rsidR="00EF1CEE">
              <w:rPr>
                <w:rFonts w:asciiTheme="majorHAnsi" w:hAnsiTheme="majorHAnsi"/>
                <w:sz w:val="14"/>
                <w:szCs w:val="14"/>
              </w:rPr>
              <w:t>, markers</w:t>
            </w:r>
          </w:p>
        </w:tc>
        <w:tc>
          <w:tcPr>
            <w:tcW w:w="3882" w:type="dxa"/>
          </w:tcPr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install a landscape. 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Pr="00B34E0D" w:rsidRDefault="001151DD" w:rsidP="00C62B9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pruners, rakes 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Conservation Warden </w:t>
            </w:r>
            <w:r>
              <w:rPr>
                <w:rFonts w:asciiTheme="majorHAnsi" w:hAnsiTheme="majorHAnsi"/>
                <w:sz w:val="14"/>
                <w:szCs w:val="14"/>
              </w:rPr>
              <w:t>Guest Speaker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Differentiated Instruction Projects</w:t>
            </w:r>
          </w:p>
        </w:tc>
        <w:tc>
          <w:tcPr>
            <w:tcW w:w="3618" w:type="dxa"/>
          </w:tcPr>
          <w:p w:rsidR="0079743D" w:rsidRPr="0079743D" w:rsidRDefault="001151DD" w:rsidP="007974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79743D">
              <w:rPr>
                <w:rFonts w:asciiTheme="majorHAnsi" w:hAnsiTheme="majorHAnsi"/>
                <w:sz w:val="14"/>
                <w:szCs w:val="14"/>
              </w:rPr>
              <w:t>Students can t</w:t>
            </w:r>
            <w:r w:rsidR="0079743D" w:rsidRPr="0079743D">
              <w:rPr>
                <w:rFonts w:asciiTheme="majorHAnsi" w:hAnsiTheme="majorHAnsi"/>
                <w:sz w:val="14"/>
                <w:szCs w:val="14"/>
              </w:rPr>
              <w:t>ransplant Flowers</w:t>
            </w:r>
            <w:r w:rsidR="0079743D">
              <w:rPr>
                <w:rFonts w:asciiTheme="majorHAnsi" w:hAnsiTheme="majorHAnsi"/>
                <w:sz w:val="14"/>
                <w:szCs w:val="14"/>
              </w:rPr>
              <w:t>.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9743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79743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Greenhouse Lab</w:t>
            </w:r>
          </w:p>
          <w:p w:rsidR="001151DD" w:rsidRDefault="001151D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79743D">
              <w:rPr>
                <w:rFonts w:asciiTheme="majorHAnsi" w:hAnsiTheme="majorHAnsi"/>
                <w:sz w:val="14"/>
                <w:szCs w:val="14"/>
              </w:rPr>
              <w:t>plants, pots, soil</w:t>
            </w:r>
          </w:p>
        </w:tc>
      </w:tr>
      <w:tr w:rsidR="001151DD" w:rsidRPr="00D2517D" w:rsidTr="00C62B91">
        <w:trPr>
          <w:cantSplit/>
          <w:trHeight w:val="66"/>
        </w:trPr>
        <w:tc>
          <w:tcPr>
            <w:tcW w:w="525" w:type="dxa"/>
            <w:textDirection w:val="btLr"/>
          </w:tcPr>
          <w:p w:rsidR="001151DD" w:rsidRPr="00D2517D" w:rsidRDefault="001151DD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Trempealeau County Soils Contest @ Centerville 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F1CEE" w:rsidRPr="00EF1CEE">
              <w:rPr>
                <w:rFonts w:asciiTheme="majorHAnsi" w:hAnsiTheme="majorHAnsi"/>
                <w:sz w:val="14"/>
                <w:szCs w:val="14"/>
              </w:rPr>
              <w:t>Students can explain the concepts of rotation, revolution, equinox, and solar angle during a Summative Assessment.</w:t>
            </w:r>
            <w:r w:rsidR="00EF1CEE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2C359B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1151DD" w:rsidRDefault="00EF1CEE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Individual Assessment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EF1CEE">
              <w:rPr>
                <w:rFonts w:asciiTheme="majorHAnsi" w:hAnsiTheme="majorHAnsi"/>
                <w:sz w:val="14"/>
                <w:szCs w:val="14"/>
              </w:rPr>
              <w:t xml:space="preserve">Inv. 3 Assessment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1151D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EF1CEE">
              <w:rPr>
                <w:rFonts w:asciiTheme="majorHAnsi" w:hAnsiTheme="majorHAnsi"/>
                <w:sz w:val="14"/>
                <w:szCs w:val="14"/>
              </w:rPr>
              <w:t xml:space="preserve">Summative Assessment </w:t>
            </w:r>
          </w:p>
        </w:tc>
        <w:tc>
          <w:tcPr>
            <w:tcW w:w="3882" w:type="dxa"/>
          </w:tcPr>
          <w:p w:rsidR="00BD2D36" w:rsidRPr="00B34E0D" w:rsidRDefault="00BD2D36" w:rsidP="00BD2D36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draw a landscape design plan to a customer’s specifications. </w:t>
            </w:r>
          </w:p>
          <w:p w:rsidR="00BD2D36" w:rsidRPr="00B34E0D" w:rsidRDefault="00BD2D36" w:rsidP="00BD2D36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 Work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TIme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BD2D36" w:rsidRPr="00B34E0D" w:rsidRDefault="00BD2D36" w:rsidP="00BD2D3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BD2D36" w:rsidRPr="00B34E0D" w:rsidRDefault="00BD2D36" w:rsidP="00BD2D36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Final Drafting Assignment </w:t>
            </w:r>
          </w:p>
          <w:p w:rsidR="00BD2D36" w:rsidRPr="00B34E0D" w:rsidRDefault="00BD2D36" w:rsidP="00BD2D36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papers, landscape drafting tools</w:t>
            </w:r>
          </w:p>
          <w:p w:rsidR="001151DD" w:rsidRPr="00B34E0D" w:rsidRDefault="001151DD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79743D" w:rsidRDefault="0079743D" w:rsidP="007974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3F0197" w:rsidRDefault="003F0197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Video Tutorial 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9743D" w:rsidRDefault="0079743D" w:rsidP="007974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Trapping Final Exam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- Practical Authentic Assessment </w:t>
            </w:r>
          </w:p>
          <w:p w:rsidR="003F0197" w:rsidRDefault="003F0197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3F0197" w:rsidRDefault="003F0197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79743D" w:rsidRPr="0079743D">
              <w:rPr>
                <w:rFonts w:asciiTheme="majorHAnsi" w:hAnsiTheme="majorHAnsi"/>
                <w:sz w:val="14"/>
                <w:szCs w:val="14"/>
              </w:rPr>
              <w:t>Traps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Differentiated Instruction Projects</w:t>
            </w:r>
          </w:p>
        </w:tc>
        <w:tc>
          <w:tcPr>
            <w:tcW w:w="3618" w:type="dxa"/>
          </w:tcPr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0829C7" w:rsidRPr="000829C7">
              <w:rPr>
                <w:rFonts w:asciiTheme="majorHAnsi" w:hAnsiTheme="majorHAnsi"/>
                <w:sz w:val="14"/>
                <w:szCs w:val="14"/>
              </w:rPr>
              <w:t>Students can identify the importance of agriculture on the Local, S</w:t>
            </w:r>
            <w:bookmarkStart w:id="0" w:name="_GoBack"/>
            <w:bookmarkEnd w:id="0"/>
            <w:r w:rsidR="000829C7" w:rsidRPr="000829C7">
              <w:rPr>
                <w:rFonts w:asciiTheme="majorHAnsi" w:hAnsiTheme="majorHAnsi"/>
                <w:sz w:val="14"/>
                <w:szCs w:val="14"/>
              </w:rPr>
              <w:t>tate, National, and Global scale.</w:t>
            </w: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151DD" w:rsidRPr="000829C7" w:rsidRDefault="000829C7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0829C7">
              <w:rPr>
                <w:rFonts w:asciiTheme="majorHAnsi" w:hAnsiTheme="majorHAnsi"/>
                <w:sz w:val="14"/>
                <w:szCs w:val="14"/>
              </w:rPr>
              <w:t>Local, State, National, and Global Ag Assessment</w:t>
            </w:r>
          </w:p>
          <w:p w:rsidR="0079743D" w:rsidRDefault="0079743D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1151DD" w:rsidRPr="00B34E0D" w:rsidRDefault="001151DD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151DD" w:rsidRPr="00B34E0D" w:rsidRDefault="000829C7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Assessment </w:t>
            </w:r>
          </w:p>
        </w:tc>
      </w:tr>
    </w:tbl>
    <w:p w:rsidR="001151DD" w:rsidRDefault="001151DD" w:rsidP="001151DD"/>
    <w:p w:rsidR="001151DD" w:rsidRDefault="001151DD" w:rsidP="001151DD"/>
    <w:p w:rsidR="008F3D74" w:rsidRDefault="008F3D74"/>
    <w:sectPr w:rsidR="008F3D74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DD"/>
    <w:rsid w:val="00024444"/>
    <w:rsid w:val="000829C7"/>
    <w:rsid w:val="001151DD"/>
    <w:rsid w:val="001F575D"/>
    <w:rsid w:val="003F0197"/>
    <w:rsid w:val="006E378E"/>
    <w:rsid w:val="0079743D"/>
    <w:rsid w:val="008F3D74"/>
    <w:rsid w:val="00BD2D36"/>
    <w:rsid w:val="00E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2014-04-27T19:19:00Z</dcterms:created>
  <dcterms:modified xsi:type="dcterms:W3CDTF">2014-04-28T01:46:00Z</dcterms:modified>
</cp:coreProperties>
</file>